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B12D8" w14:textId="77777777" w:rsidR="00C02DAE" w:rsidRPr="00C02DAE" w:rsidRDefault="00C02DAE" w:rsidP="00C02DA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663300"/>
          <w:sz w:val="36"/>
          <w:szCs w:val="36"/>
          <w:lang w:eastAsia="pt-PT"/>
        </w:rPr>
        <w:t>Nota da Congregação para a Adoração Divina e a Disciplina dos Sacramentos no domingo da Palavra de Deus, 19.12.2020</w:t>
      </w:r>
    </w:p>
    <w:p w14:paraId="243EBA38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> </w:t>
      </w:r>
    </w:p>
    <w:p w14:paraId="157AB057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bookmarkStart w:id="0" w:name="ita"/>
      <w:bookmarkEnd w:id="0"/>
    </w:p>
    <w:p w14:paraId="1ECBC3B6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>NOTA NO DOMINGO DA PALAVRA DE DEUS</w:t>
      </w:r>
    </w:p>
    <w:p w14:paraId="0A1FE93F" w14:textId="02A39B53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vertAlign w:val="superscript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 xml:space="preserve">O Domingo da Palavra de Deus, desejado pelo Papa Francisco todos os anos no Terceiro Domingo </w:t>
      </w:r>
      <w:r>
        <w:rPr>
          <w:rFonts w:ascii="Tahoma" w:eastAsia="Times New Roman" w:hAnsi="Tahoma" w:cs="Tahoma"/>
          <w:color w:val="000000"/>
          <w:lang w:eastAsia="pt-PT"/>
        </w:rPr>
        <w:t>do Tempo Comum (1) lembra</w:t>
      </w:r>
      <w:r>
        <w:rPr>
          <w:rFonts w:ascii="Tahoma" w:eastAsia="Times New Roman" w:hAnsi="Tahoma" w:cs="Tahoma"/>
          <w:color w:val="000000"/>
          <w:vertAlign w:val="superscript"/>
          <w:lang w:eastAsia="pt-PT"/>
        </w:rPr>
        <w:t xml:space="preserve"> 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a todos, pastores e fiéis, a importância e o valor das Escrituras Sagradas para a vida cristã, bem como a relação entre a Palavra de Deus e a liturgia: "Como cristãos somos um povo que caminha na história, forte na presença do Senhor entre nós que falam </w:t>
      </w:r>
      <w:r w:rsidR="00C719BB" w:rsidRPr="00C02DAE">
        <w:rPr>
          <w:rFonts w:ascii="Tahoma" w:eastAsia="Times New Roman" w:hAnsi="Tahoma" w:cs="Tahoma"/>
          <w:color w:val="000000"/>
          <w:lang w:eastAsia="pt-PT"/>
        </w:rPr>
        <w:t>connosco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 e nos alimentam. O dia dedicado à Bíblia quer ser não "uma vez por ano", mas uma vez ao longo do ano, porque precisamos urgentemente nos familiarizar e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intimizar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com as Escrituras Sagradas e as Ressuscitadas, que nunca deixam de quebrar a Palavra e o pão na comunidade de crentes. Por essa razão, precisamos nos tornar em constante confiança com as Escrituras Sagradas, caso contrário o coração permanece frio e os olhos permanecem fechados, afetados como somos por inúmeras formas de cegueira".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[2]</w:t>
      </w:r>
    </w:p>
    <w:p w14:paraId="0543DE59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>Este domingo é, portanto, uma boa oportunidade para reler alguns documentos eclesiais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[3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] e, sobretudo, a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Praenotanda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do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Ordo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Lectionum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Missae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>, que apresentam uma síntese dos princípios teológicos, comemorativos e pastorais sobre a Palavra de Deus proclamada em missa, mas também válida em todas as celebrações litúrgicas (Sacramentos, Sacramentos, Liturgia das Horas).</w:t>
      </w:r>
    </w:p>
    <w:p w14:paraId="17B5A240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>1. Através das leituras bíblicas proclamadas na liturgia, Deus fala ao seu povo e o próprio Cristo proclama seu Evangelho;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[4]</w:t>
      </w:r>
      <w:r w:rsidRPr="00C02DAE">
        <w:rPr>
          <w:rFonts w:ascii="Tahoma" w:eastAsia="Times New Roman" w:hAnsi="Tahoma" w:cs="Tahoma"/>
          <w:color w:val="000000"/>
          <w:lang w:eastAsia="pt-PT"/>
        </w:rPr>
        <w:t> Cristo é o centro e plenitude de todas as Escrituras, do Velho e do Novo Testamento.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[5]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 Ouvindo o Evangelho, o ápice da Liturgia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da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Palavra</w:t>
      </w:r>
      <w:proofErr w:type="spellEnd"/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,[6] é</w:t>
      </w:r>
      <w:r w:rsidRPr="00C02DAE">
        <w:rPr>
          <w:rFonts w:ascii="Tahoma" w:eastAsia="Times New Roman" w:hAnsi="Tahoma" w:cs="Tahoma"/>
          <w:color w:val="000000"/>
          <w:lang w:eastAsia="pt-PT"/>
        </w:rPr>
        <w:t> caracterizado por uma veneração particular,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[7]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 expressa não apenas por gestos e aclamações, mas pelo próprio Livro dos </w:t>
      </w:r>
      <w:proofErr w:type="gramStart"/>
      <w:r w:rsidRPr="00C02DAE">
        <w:rPr>
          <w:rFonts w:ascii="Tahoma" w:eastAsia="Times New Roman" w:hAnsi="Tahoma" w:cs="Tahoma"/>
          <w:color w:val="000000"/>
          <w:lang w:eastAsia="pt-PT"/>
        </w:rPr>
        <w:t>Evangelhos.[</w:t>
      </w:r>
      <w:proofErr w:type="gramEnd"/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 8]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 Um dos modos rituais adequados para este domingo poderia ser a procissão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introital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com o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Evangeliary</w:t>
      </w:r>
      <w:proofErr w:type="spellEnd"/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[9]</w:t>
      </w:r>
      <w:r w:rsidRPr="00C02DAE">
        <w:rPr>
          <w:rFonts w:ascii="Tahoma" w:eastAsia="Times New Roman" w:hAnsi="Tahoma" w:cs="Tahoma"/>
          <w:color w:val="000000"/>
          <w:lang w:eastAsia="pt-PT"/>
        </w:rPr>
        <w:t> ou, na ausência dele, sua colocação no altar.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[10]</w:t>
      </w:r>
    </w:p>
    <w:p w14:paraId="2E1E2148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 xml:space="preserve">2. A ordenação de leituras bíblicas estabelecidas pela Igreja no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Lectionary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abre o conhecimento de toda a Palavra de Deus.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[11</w:t>
      </w:r>
      <w:r w:rsidRPr="00C02DAE">
        <w:rPr>
          <w:rFonts w:ascii="Tahoma" w:eastAsia="Times New Roman" w:hAnsi="Tahoma" w:cs="Tahoma"/>
          <w:color w:val="000000"/>
          <w:lang w:eastAsia="pt-PT"/>
        </w:rPr>
        <w:t>] Portanto, é necessário respeitar as leituras indicadas, sem substituí-las ou suprimi-las, e usar versões da Bíblia aprovadas para uso litúrgico.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[12]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A proclamação dos textos do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Lectionary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constitui um vínculo de unidade entre todos os fiéis que os ouvem. Compreender a estrutura e o propósito da Liturgia da Palavra ajuda a assembleia dos fiéis a receber de Deus a palavra que ele salva.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Não é o. [13]</w:t>
      </w:r>
    </w:p>
    <w:p w14:paraId="54EF8B31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>3. Recomenda-se a canção do Salmo responsório, a resposta da Igreja orante;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[14] Portanto,</w:t>
      </w:r>
      <w:r w:rsidRPr="00C02DAE">
        <w:rPr>
          <w:rFonts w:ascii="Tahoma" w:eastAsia="Times New Roman" w:hAnsi="Tahoma" w:cs="Tahoma"/>
          <w:color w:val="000000"/>
          <w:lang w:eastAsia="pt-PT"/>
        </w:rPr>
        <w:t> o serviço do salmista em cada comunidade deve ser aumentado.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[15]</w:t>
      </w:r>
    </w:p>
    <w:p w14:paraId="04BBADF2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>4. Ao longo do ano litúrgico e a partir de leituras bíblicas, os mistérios da fé e as normas da vida cristã são exibidos na homilia.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[16]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 "Os pastores, em primeiro lugar, têm uma grande responsabilidade de explicar e permitir que todos entendam as Escrituras </w:t>
      </w:r>
      <w:r w:rsidRPr="00C02DAE">
        <w:rPr>
          <w:rFonts w:ascii="Tahoma" w:eastAsia="Times New Roman" w:hAnsi="Tahoma" w:cs="Tahoma"/>
          <w:color w:val="000000"/>
          <w:lang w:eastAsia="pt-PT"/>
        </w:rPr>
        <w:lastRenderedPageBreak/>
        <w:t>Sagradas. Como é o livro do povo, aqueles que têm a vocação de serem ministros da Palavra de Deus devem sentir a forte necessidade de torná-la acessível à sua comunidade".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[17]</w:t>
      </w:r>
      <w:r w:rsidRPr="00C02DAE">
        <w:rPr>
          <w:rFonts w:ascii="Tahoma" w:eastAsia="Times New Roman" w:hAnsi="Tahoma" w:cs="Tahoma"/>
          <w:color w:val="000000"/>
          <w:lang w:eastAsia="pt-PT"/>
        </w:rPr>
        <w:t> Bispos, padres e diáconos devem sentir o compromisso de realizar este ministério com especial dedicação, aproveitando os meios propostos pela Igreja.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[18]</w:t>
      </w:r>
    </w:p>
    <w:p w14:paraId="2F0CD9E8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>5. O silêncio que, ao promover a meditação, permite que a Palavra de Deus seja recebida internamente por aqueles que a ouvem é particularmente importante.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[19]</w:t>
      </w:r>
    </w:p>
    <w:p w14:paraId="1B106D94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>6. A Igreja sempre demonstrou especial atenção àqueles que proclamam a Palavra de Deus na assembleia: padres, diáconos e leitores. Este ministério requer uma preparação interna e externa específica, familiaridade com o texto a ser proclamado e a prática necessária na forma de proclamá-lo, evitando qualquer improvisação.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[20]</w:t>
      </w:r>
      <w:r w:rsidRPr="00C02DAE">
        <w:rPr>
          <w:rFonts w:ascii="Tahoma" w:eastAsia="Times New Roman" w:hAnsi="Tahoma" w:cs="Tahoma"/>
          <w:color w:val="000000"/>
          <w:lang w:eastAsia="pt-PT"/>
        </w:rPr>
        <w:t> Há a possibilidade de prefácio das leituras dos avisos curtos e apropriados.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[21]</w:t>
      </w:r>
    </w:p>
    <w:p w14:paraId="60488781" w14:textId="6F175AC0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>7. Pelo valor da Palavra de Deus, a Igreja nos convida a curar o bico do qual é proclamado;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[22] Não</w:t>
      </w:r>
      <w:r w:rsidRPr="00C02DAE">
        <w:rPr>
          <w:rFonts w:ascii="Tahoma" w:eastAsia="Times New Roman" w:hAnsi="Tahoma" w:cs="Tahoma"/>
          <w:color w:val="000000"/>
          <w:lang w:eastAsia="pt-PT"/>
        </w:rPr>
        <w:t> é um móvel funcional, mas o lugar adequado à dignidade da Palavra de Deus, em correspondência com o altar: na verdade, falamos da mesa da Palavra de Deus e do Corpo de Cristo, em referência tanto ao osso e sobretudo ao altar.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[23]</w:t>
      </w:r>
      <w:r w:rsidRPr="00C02DAE">
        <w:rPr>
          <w:rFonts w:ascii="Tahoma" w:eastAsia="Times New Roman" w:hAnsi="Tahoma" w:cs="Tahoma"/>
          <w:color w:val="000000"/>
          <w:lang w:eastAsia="pt-PT"/>
        </w:rPr>
        <w:t> O amb</w:t>
      </w:r>
      <w:r w:rsidR="00C719BB">
        <w:rPr>
          <w:rFonts w:ascii="Tahoma" w:eastAsia="Times New Roman" w:hAnsi="Tahoma" w:cs="Tahoma"/>
          <w:color w:val="000000"/>
          <w:lang w:eastAsia="pt-PT"/>
        </w:rPr>
        <w:t>ão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 é reservado para leituras, cantando o Salmo responsorial e o pré-acordo da Páscoa; a partir dela pode-se </w:t>
      </w:r>
      <w:r w:rsidR="00C719BB" w:rsidRPr="00C02DAE">
        <w:rPr>
          <w:rFonts w:ascii="Tahoma" w:eastAsia="Times New Roman" w:hAnsi="Tahoma" w:cs="Tahoma"/>
          <w:color w:val="000000"/>
          <w:lang w:eastAsia="pt-PT"/>
        </w:rPr>
        <w:t>proferi</w:t>
      </w:r>
      <w:r w:rsidR="00C719BB">
        <w:rPr>
          <w:rFonts w:ascii="Tahoma" w:eastAsia="Times New Roman" w:hAnsi="Tahoma" w:cs="Tahoma"/>
          <w:color w:val="000000"/>
          <w:lang w:eastAsia="pt-PT"/>
        </w:rPr>
        <w:t>r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 a homilia e as intenções da oração universal, enquanto é menos apropriado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acessá-la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para comentários, avisos, direção de canto.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[24]</w:t>
      </w:r>
    </w:p>
    <w:p w14:paraId="5983374E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>8. Os livros contendo as passagens das Escrituras Sagradas despertam naqueles que os ouvem a veneração pelo mistério de Deus que fala com seu povo.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[25]</w:t>
      </w:r>
      <w:r w:rsidRPr="00C02DAE">
        <w:rPr>
          <w:rFonts w:ascii="Tahoma" w:eastAsia="Times New Roman" w:hAnsi="Tahoma" w:cs="Tahoma"/>
          <w:color w:val="000000"/>
          <w:lang w:eastAsia="pt-PT"/>
        </w:rPr>
        <w:t> Por essa razão é solicitado a cuidar de seu valor material e seu bom uso. É inapropriado recorrer a panfletos, fotocópias, subsídios para substituir livros litúrgicos.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[26]</w:t>
      </w:r>
    </w:p>
    <w:p w14:paraId="19ED8434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 xml:space="preserve">9. Nos dias seguintes ao domingo da Palavra de Deus, é conveniente promover encontros formativos para destacar o valor das Escrituras sagradas em celebrações litúrgicas; pode ser uma oportunidade de aprender mais sobre como a Igreja em oração lê as escrituras sagradas, com leitura contínua,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semicontinuosa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e tipológica; quais são os critérios para a distribuição litúrgica dos diversos livros bíblicos durante o ano e em seus tempos, a estrutura dos ciclos de domingo e dia da semana das leituras da missa.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[27]</w:t>
      </w:r>
    </w:p>
    <w:p w14:paraId="47F582B3" w14:textId="0E1633D4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 xml:space="preserve">10. O Domingo da Palavra de Deus é também uma ocasião propícia para aprofundar o elo entre a Escritura Sagrada e a Liturgia das Horas, a oração dos Salmos e Canções do Escritório, as leituras bíblicas, promovendo a celebração comunitária de Louvor e </w:t>
      </w:r>
      <w:r w:rsidR="00C719BB" w:rsidRPr="00C02DAE">
        <w:rPr>
          <w:rFonts w:ascii="Tahoma" w:eastAsia="Times New Roman" w:hAnsi="Tahoma" w:cs="Tahoma"/>
          <w:color w:val="000000"/>
          <w:lang w:eastAsia="pt-PT"/>
        </w:rPr>
        <w:t>Vésperas</w:t>
      </w:r>
      <w:r w:rsidRPr="00C02DAE">
        <w:rPr>
          <w:rFonts w:ascii="Tahoma" w:eastAsia="Times New Roman" w:hAnsi="Tahoma" w:cs="Tahoma"/>
          <w:color w:val="000000"/>
          <w:lang w:eastAsia="pt-PT"/>
        </w:rPr>
        <w:t>.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[28]</w:t>
      </w:r>
    </w:p>
    <w:p w14:paraId="30A3F5A1" w14:textId="2B25F131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 xml:space="preserve">Entre os muitos santos e santos, todas testemunhas do Evangelho de Jesus Cristo, São Jerônimo pode ser proposto como exemplo para o grande amor que alimentou pela Palavra de Deus. Como o Papa Francisco lembrou recentemente, ele era um "estudioso </w:t>
      </w:r>
      <w:r w:rsidR="00C719BB" w:rsidRPr="00C02DAE">
        <w:rPr>
          <w:rFonts w:ascii="Tahoma" w:eastAsia="Times New Roman" w:hAnsi="Tahoma" w:cs="Tahoma"/>
          <w:color w:val="000000"/>
          <w:lang w:eastAsia="pt-PT"/>
        </w:rPr>
        <w:t>insaciável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, tradutor, </w:t>
      </w:r>
      <w:r w:rsidR="00C719BB" w:rsidRPr="00C02DAE">
        <w:rPr>
          <w:rFonts w:ascii="Tahoma" w:eastAsia="Times New Roman" w:hAnsi="Tahoma" w:cs="Tahoma"/>
          <w:color w:val="000000"/>
          <w:lang w:eastAsia="pt-PT"/>
        </w:rPr>
        <w:t>exegeta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, profundo conhecedor e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popularizador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apaixonado das Escrituras Sagradas. [...] Ouvindo, Jerônimo encontra a si mesmo, o rosto de Deus e o de seus irmãos e irmãs, e refina sua predileção pela vida comunitária".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[29]</w:t>
      </w:r>
    </w:p>
    <w:p w14:paraId="1D12EAD8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 xml:space="preserve">Esta Nota pretende ajudar a despertar, à luz do domingo da Palavra de Deus, a consciência da importância das Escrituras Sagradas para nossas vidas como crentes, a partir de sua retumbante na liturgia que nos coloca em um diálogo vivo e permanente </w:t>
      </w:r>
      <w:r w:rsidRPr="00C02DAE">
        <w:rPr>
          <w:rFonts w:ascii="Tahoma" w:eastAsia="Times New Roman" w:hAnsi="Tahoma" w:cs="Tahoma"/>
          <w:color w:val="000000"/>
          <w:lang w:eastAsia="pt-PT"/>
        </w:rPr>
        <w:lastRenderedPageBreak/>
        <w:t>com Deus. "A Palavra de Deus ouviu e celebrou, especialmente na eucaristia, nutre e fortalece os cristãos interiormente e os torna capazes de autêntico testemunho evangélico no cotidiano." </w:t>
      </w: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[30]</w:t>
      </w:r>
    </w:p>
    <w:p w14:paraId="79C833A3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>Pela Congregação para a Adoração Divina e pela Disciplina dos Sacramentos, em 17 de dezembro de 2020.</w:t>
      </w:r>
    </w:p>
    <w:p w14:paraId="1071E5E2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>Cartão, Robert. Sarah</w:t>
      </w:r>
      <w:r w:rsidRPr="00C02DAE">
        <w:rPr>
          <w:rFonts w:ascii="Tahoma" w:eastAsia="Times New Roman" w:hAnsi="Tahoma" w:cs="Tahoma"/>
          <w:color w:val="000000"/>
          <w:lang w:eastAsia="pt-PT"/>
        </w:rPr>
        <w:br/>
      </w:r>
      <w:r w:rsidRPr="00C02DAE">
        <w:rPr>
          <w:rFonts w:ascii="Tahoma" w:eastAsia="Times New Roman" w:hAnsi="Tahoma" w:cs="Tahoma"/>
          <w:i/>
          <w:iCs/>
          <w:color w:val="000000"/>
          <w:lang w:eastAsia="pt-PT"/>
        </w:rPr>
        <w:t>Prefeito</w:t>
      </w:r>
    </w:p>
    <w:p w14:paraId="7C8CD7B4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>+</w:t>
      </w:r>
      <w:r w:rsidRPr="00C02DAE">
        <w:rPr>
          <w:rFonts w:ascii="Tahoma" w:eastAsia="Times New Roman" w:hAnsi="Tahoma" w:cs="Tahoma"/>
          <w:color w:val="000000"/>
          <w:lang w:eastAsia="pt-PT"/>
        </w:rPr>
        <w:br/>
      </w:r>
      <w:r w:rsidRPr="00C02DAE">
        <w:rPr>
          <w:rFonts w:ascii="Tahoma" w:eastAsia="Times New Roman" w:hAnsi="Tahoma" w:cs="Tahoma"/>
          <w:i/>
          <w:iCs/>
          <w:color w:val="000000"/>
          <w:lang w:eastAsia="pt-PT"/>
        </w:rPr>
        <w:t xml:space="preserve">Arthur </w:t>
      </w:r>
      <w:proofErr w:type="spellStart"/>
      <w:r w:rsidRPr="00C02DAE">
        <w:rPr>
          <w:rFonts w:ascii="Tahoma" w:eastAsia="Times New Roman" w:hAnsi="Tahoma" w:cs="Tahoma"/>
          <w:i/>
          <w:iCs/>
          <w:color w:val="000000"/>
          <w:lang w:eastAsia="pt-PT"/>
        </w:rPr>
        <w:t>Roche</w:t>
      </w:r>
      <w:proofErr w:type="spellEnd"/>
      <w:r w:rsidRPr="00C02DAE">
        <w:rPr>
          <w:rFonts w:ascii="Tahoma" w:eastAsia="Times New Roman" w:hAnsi="Tahoma" w:cs="Tahoma"/>
          <w:i/>
          <w:iCs/>
          <w:color w:val="000000"/>
          <w:lang w:eastAsia="pt-PT"/>
        </w:rPr>
        <w:t xml:space="preserve"> Arcebispo Secretário</w:t>
      </w:r>
    </w:p>
    <w:p w14:paraId="423C14F8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>_____________________</w:t>
      </w:r>
    </w:p>
    <w:p w14:paraId="15FD3C3F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[1]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 Cf. Francis, Carta Apostólica na forma de Motu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proprio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Aperuit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illis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>, 30 de setembro de 2019.</w:t>
      </w:r>
    </w:p>
    <w:p w14:paraId="2EFD01AC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[2]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 Francisco,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Aperuit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illis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, n. 8; Concílio Vaticano II, Constituição dei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Verbum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>, n. 25: "É necessário que todos os clérigos, padres e aqueles que, como diáconos ou catequistas, legitimamente esperam pelo ministério da palavra, para manter contato contínuo com as escrituras através da leitura espiritual assídua e estudo cuidadoso, para que não se torne "um pregador vaidoso da palavra de Deus fora daquele que não a ouve dentro de si mesmo", enquanto ele deve participar dos fiéis confiados a ele as riquezas superabundantes da palavra divina, especialmente na liturgia. Da mesma forma, o Santo Conselho exorta com ardor e insistência todos os fiéis, especialmente religiosos, a aprender "a ciência sublime de Jesus Cristo" (Phil 3:8) com a leitura frequente das escrituras divinas. "A ignorância das escrituras, na verdade, é ignorância de Cristo."</w:t>
      </w:r>
    </w:p>
    <w:p w14:paraId="3B35F395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[3]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 Concílio Vaticano II, Constituição dei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Verbum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; Bento XVI, Exortação Apostólica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Verbum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Domini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>.</w:t>
      </w:r>
    </w:p>
    <w:p w14:paraId="1FCE7BA4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[4]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 Cf.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Sacrosanctum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Concilium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,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nn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. 7, 33;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Institutio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generalis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Missalis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Romani (IGMR), nº 29;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Ordo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lectionum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Missae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(OLM), nº 12.</w:t>
      </w:r>
    </w:p>
    <w:p w14:paraId="4F69F441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[5]</w:t>
      </w:r>
      <w:r w:rsidRPr="00C02DAE">
        <w:rPr>
          <w:rFonts w:ascii="Tahoma" w:eastAsia="Times New Roman" w:hAnsi="Tahoma" w:cs="Tahoma"/>
          <w:color w:val="000000"/>
          <w:lang w:eastAsia="pt-PT"/>
        </w:rPr>
        <w:t> Cf. OLM, Nº 5.</w:t>
      </w:r>
    </w:p>
    <w:p w14:paraId="2ECC4BDD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[6]</w:t>
      </w:r>
      <w:r w:rsidRPr="00C02DAE">
        <w:rPr>
          <w:rFonts w:ascii="Tahoma" w:eastAsia="Times New Roman" w:hAnsi="Tahoma" w:cs="Tahoma"/>
          <w:color w:val="000000"/>
          <w:lang w:eastAsia="pt-PT"/>
        </w:rPr>
        <w:t> Cf. IGMR, n. 60; OLM, nº 13.</w:t>
      </w:r>
    </w:p>
    <w:p w14:paraId="6E87267D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[7]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 Cf. OLM, nº 17;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Episcoporum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Caeremonial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>, n. 74.</w:t>
      </w:r>
    </w:p>
    <w:p w14:paraId="51DC7502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[8]</w:t>
      </w:r>
      <w:r w:rsidRPr="00C02DAE">
        <w:rPr>
          <w:rFonts w:ascii="Tahoma" w:eastAsia="Times New Roman" w:hAnsi="Tahoma" w:cs="Tahoma"/>
          <w:color w:val="000000"/>
          <w:lang w:eastAsia="pt-PT"/>
        </w:rPr>
        <w:t> Cf. OLM, não. 36, 113.</w:t>
      </w:r>
    </w:p>
    <w:p w14:paraId="1181A146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[9]</w:t>
      </w:r>
      <w:r w:rsidRPr="00C02DAE">
        <w:rPr>
          <w:rFonts w:ascii="Tahoma" w:eastAsia="Times New Roman" w:hAnsi="Tahoma" w:cs="Tahoma"/>
          <w:color w:val="000000"/>
          <w:lang w:eastAsia="pt-PT"/>
        </w:rPr>
        <w:t> Cf. IGMR, não. 120, 133.</w:t>
      </w:r>
    </w:p>
    <w:p w14:paraId="3514C236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[10]</w:t>
      </w:r>
      <w:r w:rsidRPr="00C02DAE">
        <w:rPr>
          <w:rFonts w:ascii="Tahoma" w:eastAsia="Times New Roman" w:hAnsi="Tahoma" w:cs="Tahoma"/>
          <w:color w:val="000000"/>
          <w:lang w:eastAsia="pt-PT"/>
        </w:rPr>
        <w:t> Cf. IGMR, n. 117.</w:t>
      </w:r>
    </w:p>
    <w:p w14:paraId="786B6BE7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[11]</w:t>
      </w:r>
      <w:r w:rsidRPr="00C02DAE">
        <w:rPr>
          <w:rFonts w:ascii="Tahoma" w:eastAsia="Times New Roman" w:hAnsi="Tahoma" w:cs="Tahoma"/>
          <w:color w:val="000000"/>
          <w:lang w:eastAsia="pt-PT"/>
        </w:rPr>
        <w:t> Cf. IGMR, n. 57; OLM, nº 60.</w:t>
      </w:r>
    </w:p>
    <w:p w14:paraId="4C177866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[12]</w:t>
      </w:r>
      <w:r w:rsidRPr="00C02DAE">
        <w:rPr>
          <w:rFonts w:ascii="Tahoma" w:eastAsia="Times New Roman" w:hAnsi="Tahoma" w:cs="Tahoma"/>
          <w:color w:val="000000"/>
          <w:lang w:eastAsia="pt-PT"/>
        </w:rPr>
        <w:t> Cf. OLM, não. 12, 14, 37, 111.</w:t>
      </w:r>
    </w:p>
    <w:p w14:paraId="3B72C815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val="en-US"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val="en-US" w:eastAsia="pt-PT"/>
        </w:rPr>
        <w:lastRenderedPageBreak/>
        <w:t>[13]</w:t>
      </w:r>
      <w:r w:rsidRPr="00C02DAE">
        <w:rPr>
          <w:rFonts w:ascii="Tahoma" w:eastAsia="Times New Roman" w:hAnsi="Tahoma" w:cs="Tahoma"/>
          <w:color w:val="000000"/>
          <w:lang w:val="en-US" w:eastAsia="pt-PT"/>
        </w:rPr>
        <w:t> Cf. OLM, n. 45.</w:t>
      </w:r>
    </w:p>
    <w:p w14:paraId="3D729E1A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val="en-US"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val="en-US" w:eastAsia="pt-PT"/>
        </w:rPr>
        <w:t>[14]</w:t>
      </w:r>
      <w:r w:rsidRPr="00C02DAE">
        <w:rPr>
          <w:rFonts w:ascii="Tahoma" w:eastAsia="Times New Roman" w:hAnsi="Tahoma" w:cs="Tahoma"/>
          <w:color w:val="000000"/>
          <w:lang w:val="en-US" w:eastAsia="pt-PT"/>
        </w:rPr>
        <w:t> Cf. IGMR, n. 61; OLM, n. 19-20.</w:t>
      </w:r>
    </w:p>
    <w:p w14:paraId="7128286E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[15]</w:t>
      </w:r>
      <w:r w:rsidRPr="00C02DAE">
        <w:rPr>
          <w:rFonts w:ascii="Tahoma" w:eastAsia="Times New Roman" w:hAnsi="Tahoma" w:cs="Tahoma"/>
          <w:color w:val="000000"/>
          <w:lang w:eastAsia="pt-PT"/>
        </w:rPr>
        <w:t> Cf. OLM, n. 56.</w:t>
      </w:r>
    </w:p>
    <w:p w14:paraId="2CA3EDC3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[16]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 Cf. OLM, n. 24; Congregação para a Adoração Divina e a Disciplina dos Sacramentos, Diretório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Homiletic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, n. </w:t>
      </w:r>
      <w:proofErr w:type="gramStart"/>
      <w:r w:rsidRPr="00C02DAE">
        <w:rPr>
          <w:rFonts w:ascii="Tahoma" w:eastAsia="Times New Roman" w:hAnsi="Tahoma" w:cs="Tahoma"/>
          <w:color w:val="000000"/>
          <w:lang w:eastAsia="pt-PT"/>
        </w:rPr>
        <w:t>16 .</w:t>
      </w:r>
      <w:proofErr w:type="gramEnd"/>
    </w:p>
    <w:p w14:paraId="27E5179A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[17]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 Francis,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Aperuit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illis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, n. 5; Diretório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Homiletic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>, nº 26.</w:t>
      </w:r>
    </w:p>
    <w:p w14:paraId="1AC7268B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[18]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 Cf. Francis, Exortação Apostólica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Evangelii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gaudium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, não. 135-144; Diretório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Homiletic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>.</w:t>
      </w:r>
    </w:p>
    <w:p w14:paraId="651E73CB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val="en-US"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val="en-US" w:eastAsia="pt-PT"/>
        </w:rPr>
        <w:t>[19]</w:t>
      </w:r>
      <w:r w:rsidRPr="00C02DAE">
        <w:rPr>
          <w:rFonts w:ascii="Tahoma" w:eastAsia="Times New Roman" w:hAnsi="Tahoma" w:cs="Tahoma"/>
          <w:color w:val="000000"/>
          <w:lang w:val="en-US" w:eastAsia="pt-PT"/>
        </w:rPr>
        <w:t> Cf. IGMR, n. 56; OLM, n. 28.</w:t>
      </w:r>
    </w:p>
    <w:p w14:paraId="5C4D0FA8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[20]</w:t>
      </w:r>
      <w:r w:rsidRPr="00C02DAE">
        <w:rPr>
          <w:rFonts w:ascii="Tahoma" w:eastAsia="Times New Roman" w:hAnsi="Tahoma" w:cs="Tahoma"/>
          <w:color w:val="000000"/>
          <w:lang w:eastAsia="pt-PT"/>
        </w:rPr>
        <w:t> Cf. OLM, não. 14, 49.</w:t>
      </w:r>
    </w:p>
    <w:p w14:paraId="135E82DD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[21]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 Cf. OLM,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nn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>. 15, 42.</w:t>
      </w:r>
    </w:p>
    <w:p w14:paraId="2BCF222A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val="en-US"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val="en-US" w:eastAsia="pt-PT"/>
        </w:rPr>
        <w:t>[22]</w:t>
      </w:r>
      <w:r w:rsidRPr="00C02DAE">
        <w:rPr>
          <w:rFonts w:ascii="Tahoma" w:eastAsia="Times New Roman" w:hAnsi="Tahoma" w:cs="Tahoma"/>
          <w:color w:val="000000"/>
          <w:lang w:val="en-US" w:eastAsia="pt-PT"/>
        </w:rPr>
        <w:t> Cf. IGMR, n. 309; OLM, n. 16.</w:t>
      </w:r>
    </w:p>
    <w:p w14:paraId="445E82D8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val="en-US"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val="en-US" w:eastAsia="pt-PT"/>
        </w:rPr>
        <w:t>[23]</w:t>
      </w:r>
      <w:r w:rsidRPr="00C02DAE">
        <w:rPr>
          <w:rFonts w:ascii="Tahoma" w:eastAsia="Times New Roman" w:hAnsi="Tahoma" w:cs="Tahoma"/>
          <w:color w:val="000000"/>
          <w:lang w:val="en-US" w:eastAsia="pt-PT"/>
        </w:rPr>
        <w:t> Cf. OLM, n. 32.</w:t>
      </w:r>
    </w:p>
    <w:p w14:paraId="78CE6D49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val="en-US"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val="en-US" w:eastAsia="pt-PT"/>
        </w:rPr>
        <w:t>[24]</w:t>
      </w:r>
      <w:r w:rsidRPr="00C02DAE">
        <w:rPr>
          <w:rFonts w:ascii="Tahoma" w:eastAsia="Times New Roman" w:hAnsi="Tahoma" w:cs="Tahoma"/>
          <w:color w:val="000000"/>
          <w:lang w:val="en-US" w:eastAsia="pt-PT"/>
        </w:rPr>
        <w:t> Cf. OLM, n. 33.</w:t>
      </w:r>
    </w:p>
    <w:p w14:paraId="22437B0A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[25]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 Cf. OLM, n. 35;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Episcoporum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Caeremonial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>, n. 115.</w:t>
      </w:r>
    </w:p>
    <w:p w14:paraId="11D3E94E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[26]</w:t>
      </w:r>
      <w:r w:rsidRPr="00C02DAE">
        <w:rPr>
          <w:rFonts w:ascii="Tahoma" w:eastAsia="Times New Roman" w:hAnsi="Tahoma" w:cs="Tahoma"/>
          <w:color w:val="000000"/>
          <w:lang w:eastAsia="pt-PT"/>
        </w:rPr>
        <w:t> Cf. OLM, n. 37.</w:t>
      </w:r>
    </w:p>
    <w:p w14:paraId="09AA116F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[27]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 Cf. OLM, não. 58-110; Diretório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Homeolithic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>, não. 37-156.</w:t>
      </w:r>
    </w:p>
    <w:p w14:paraId="5C6B765C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[28]</w:t>
      </w:r>
      <w:r w:rsidRPr="00C02DAE">
        <w:rPr>
          <w:rFonts w:ascii="Tahoma" w:eastAsia="Times New Roman" w:hAnsi="Tahoma" w:cs="Tahoma"/>
          <w:color w:val="000000"/>
          <w:lang w:eastAsia="pt-PT"/>
        </w:rPr>
        <w:t> 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Institutio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generalis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de Liturgia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Horarum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>, n. 140: "A leitura das Escrituras Sagradas, que pela tradição antiga é feita publicamente não apenas na celebração eucarística, mas também no Gabinete Divino, deve ser levada em consideração ao máximo por todos os cristãos, pois é proposta pela própria Igreja, não na escolha dos indivíduos ou de acordo com a disposição mais favorável de sua alma, mas no que diz respeito ao mistério que a Noiva de Cristo realiza ao longo do ciclo anual [...]. Além disso, na celebração litúrgica, a leitura da Sagrada Escritura é sempre acompanhada de oração".</w:t>
      </w:r>
    </w:p>
    <w:p w14:paraId="21A8999D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[29]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 Francisco, Carta Apostólica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Scripturae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sacrae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affectus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>, no 16º centenário da morte de São Jerônimo, 30 de setembro de 2020.</w:t>
      </w:r>
    </w:p>
    <w:p w14:paraId="5C19EEFB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vertAlign w:val="superscript"/>
          <w:lang w:eastAsia="pt-PT"/>
        </w:rPr>
        <w:t>[30]</w:t>
      </w:r>
      <w:r w:rsidRPr="00C02DAE">
        <w:rPr>
          <w:rFonts w:ascii="Tahoma" w:eastAsia="Times New Roman" w:hAnsi="Tahoma" w:cs="Tahoma"/>
          <w:color w:val="000000"/>
          <w:lang w:eastAsia="pt-PT"/>
        </w:rPr>
        <w:t xml:space="preserve"> Cf. Francis, Exortação Apostólica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Evangelii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 xml:space="preserve"> </w:t>
      </w:r>
      <w:proofErr w:type="spellStart"/>
      <w:r w:rsidRPr="00C02DAE">
        <w:rPr>
          <w:rFonts w:ascii="Tahoma" w:eastAsia="Times New Roman" w:hAnsi="Tahoma" w:cs="Tahoma"/>
          <w:color w:val="000000"/>
          <w:lang w:eastAsia="pt-PT"/>
        </w:rPr>
        <w:t>gaudium</w:t>
      </w:r>
      <w:proofErr w:type="spellEnd"/>
      <w:r w:rsidRPr="00C02DAE">
        <w:rPr>
          <w:rFonts w:ascii="Tahoma" w:eastAsia="Times New Roman" w:hAnsi="Tahoma" w:cs="Tahoma"/>
          <w:color w:val="000000"/>
          <w:lang w:eastAsia="pt-PT"/>
        </w:rPr>
        <w:t>, n. 174.</w:t>
      </w:r>
    </w:p>
    <w:p w14:paraId="69F1EFF1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>[01579-EN.01] [Texto original: Inglês]</w:t>
      </w:r>
    </w:p>
    <w:p w14:paraId="018EEBD0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r w:rsidRPr="00C02DAE">
        <w:rPr>
          <w:rFonts w:ascii="Tahoma" w:eastAsia="Times New Roman" w:hAnsi="Tahoma" w:cs="Tahoma"/>
          <w:color w:val="000000"/>
          <w:lang w:eastAsia="pt-PT"/>
        </w:rPr>
        <w:t> </w:t>
      </w:r>
    </w:p>
    <w:p w14:paraId="62F93652" w14:textId="77777777" w:rsidR="00C02DAE" w:rsidRPr="00C02DAE" w:rsidRDefault="00C02DAE" w:rsidP="00C02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t-PT"/>
        </w:rPr>
      </w:pPr>
      <w:bookmarkStart w:id="1" w:name="fra"/>
      <w:bookmarkEnd w:id="1"/>
    </w:p>
    <w:p w14:paraId="0DA5C4A1" w14:textId="77777777" w:rsidR="000853F0" w:rsidRDefault="000853F0"/>
    <w:sectPr w:rsidR="00085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DAE"/>
    <w:rsid w:val="000853F0"/>
    <w:rsid w:val="00C02DAE"/>
    <w:rsid w:val="00C7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C920"/>
  <w15:docId w15:val="{DB438375-74BB-4A1B-9722-61A131D9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02D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3BAC-DCE7-4D99-9B01-45019440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1492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Odete Alves</cp:lastModifiedBy>
  <cp:revision>2</cp:revision>
  <dcterms:created xsi:type="dcterms:W3CDTF">2020-12-19T12:26:00Z</dcterms:created>
  <dcterms:modified xsi:type="dcterms:W3CDTF">2020-12-19T15:49:00Z</dcterms:modified>
</cp:coreProperties>
</file>